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350" w:rsidRDefault="000A684A">
      <w:pPr>
        <w:spacing w:after="143" w:line="259" w:lineRule="auto"/>
        <w:ind w:left="0" w:firstLine="0"/>
      </w:pPr>
      <w:r>
        <w:rPr>
          <w:rFonts w:ascii="Times New Roman" w:eastAsia="Times New Roman" w:hAnsi="Times New Roman" w:cs="Times New Roman"/>
          <w:sz w:val="28"/>
        </w:rPr>
        <w:t xml:space="preserve"> </w:t>
      </w:r>
    </w:p>
    <w:p w:rsidR="00ED0350" w:rsidRDefault="000A684A">
      <w:pPr>
        <w:spacing w:after="170" w:line="302" w:lineRule="auto"/>
        <w:ind w:left="0" w:right="1233" w:firstLine="1399"/>
      </w:pPr>
      <w:r>
        <w:rPr>
          <w:noProof/>
        </w:rPr>
        <w:drawing>
          <wp:inline distT="0" distB="0" distL="0" distR="0">
            <wp:extent cx="5312749" cy="5334000"/>
            <wp:effectExtent l="0" t="0" r="254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5">
                      <a:extLst>
                        <a:ext uri="{28A0092B-C50C-407E-A947-70E740481C1C}">
                          <a14:useLocalDpi xmlns:a14="http://schemas.microsoft.com/office/drawing/2010/main" val="0"/>
                        </a:ext>
                      </a:extLst>
                    </a:blip>
                    <a:stretch>
                      <a:fillRect/>
                    </a:stretch>
                  </pic:blipFill>
                  <pic:spPr>
                    <a:xfrm>
                      <a:off x="0" y="0"/>
                      <a:ext cx="5312749" cy="5334000"/>
                    </a:xfrm>
                    <a:prstGeom prst="rect">
                      <a:avLst/>
                    </a:prstGeom>
                  </pic:spPr>
                </pic:pic>
              </a:graphicData>
            </a:graphic>
          </wp:inline>
        </w:drawing>
      </w:r>
      <w:r>
        <w:rPr>
          <w:rFonts w:ascii="Tahoma" w:eastAsia="Tahoma" w:hAnsi="Tahoma" w:cs="Tahoma"/>
          <w:b/>
          <w:sz w:val="56"/>
        </w:rPr>
        <w:t xml:space="preserve"> </w:t>
      </w:r>
      <w:r>
        <w:rPr>
          <w:rFonts w:ascii="Times New Roman" w:eastAsia="Times New Roman" w:hAnsi="Times New Roman" w:cs="Times New Roman"/>
          <w:sz w:val="56"/>
        </w:rPr>
        <w:t xml:space="preserve"> </w:t>
      </w:r>
    </w:p>
    <w:p w:rsidR="00ED0350" w:rsidRDefault="000A684A">
      <w:pPr>
        <w:spacing w:after="248" w:line="259" w:lineRule="auto"/>
        <w:ind w:left="0" w:firstLine="0"/>
      </w:pPr>
      <w:r>
        <w:rPr>
          <w:rFonts w:ascii="Tahoma" w:eastAsia="Tahoma" w:hAnsi="Tahoma" w:cs="Tahoma"/>
          <w:b/>
          <w:sz w:val="56"/>
        </w:rPr>
        <w:t xml:space="preserve"> </w:t>
      </w:r>
    </w:p>
    <w:p w:rsidR="00ED0350" w:rsidRDefault="000A684A">
      <w:pPr>
        <w:spacing w:after="355" w:line="259" w:lineRule="auto"/>
        <w:ind w:left="2698" w:firstLine="0"/>
      </w:pPr>
      <w:r>
        <w:rPr>
          <w:rFonts w:ascii="Tahoma" w:eastAsia="Tahoma" w:hAnsi="Tahoma" w:cs="Tahoma"/>
          <w:b/>
          <w:sz w:val="56"/>
        </w:rPr>
        <w:t>HYDRATION POLICY</w:t>
      </w:r>
      <w:r>
        <w:rPr>
          <w:rFonts w:ascii="Tahoma" w:eastAsia="Tahoma" w:hAnsi="Tahoma" w:cs="Tahoma"/>
          <w:b/>
          <w:sz w:val="56"/>
          <w:vertAlign w:val="subscript"/>
        </w:rPr>
        <w:t xml:space="preserve"> </w:t>
      </w:r>
    </w:p>
    <w:p w:rsidR="00ED0350" w:rsidRDefault="000A684A">
      <w:pPr>
        <w:spacing w:after="0" w:line="259" w:lineRule="auto"/>
        <w:ind w:left="200" w:firstLine="0"/>
        <w:jc w:val="center"/>
      </w:pPr>
      <w:r>
        <w:rPr>
          <w:rFonts w:ascii="Arial" w:eastAsia="Arial" w:hAnsi="Arial" w:cs="Arial"/>
          <w:b/>
          <w:sz w:val="72"/>
        </w:rPr>
        <w:t xml:space="preserve"> </w:t>
      </w:r>
    </w:p>
    <w:p w:rsidR="00ED0350" w:rsidRDefault="000A684A">
      <w:pPr>
        <w:spacing w:after="64" w:line="259" w:lineRule="auto"/>
        <w:ind w:left="4" w:firstLine="0"/>
        <w:jc w:val="center"/>
      </w:pPr>
      <w:r>
        <w:rPr>
          <w:rFonts w:ascii="Arial" w:eastAsia="Arial" w:hAnsi="Arial" w:cs="Arial"/>
          <w:b/>
          <w:sz w:val="40"/>
        </w:rPr>
        <w:t xml:space="preserve">March 2020 </w:t>
      </w:r>
    </w:p>
    <w:p w:rsidR="00ED0350" w:rsidRDefault="000A684A">
      <w:pPr>
        <w:spacing w:after="0" w:line="259" w:lineRule="auto"/>
        <w:ind w:left="0" w:firstLine="0"/>
      </w:pPr>
      <w:r>
        <w:rPr>
          <w:rFonts w:ascii="Arial" w:eastAsia="Arial" w:hAnsi="Arial" w:cs="Arial"/>
        </w:rPr>
        <w:t xml:space="preserve"> </w:t>
      </w:r>
    </w:p>
    <w:p w:rsidR="00ED0350" w:rsidRDefault="000A684A">
      <w:pPr>
        <w:spacing w:after="0" w:line="259" w:lineRule="auto"/>
        <w:ind w:left="0" w:firstLine="0"/>
      </w:pPr>
      <w:r>
        <w:rPr>
          <w:rFonts w:ascii="Arial" w:eastAsia="Arial" w:hAnsi="Arial" w:cs="Arial"/>
        </w:rPr>
        <w:t xml:space="preserve"> </w:t>
      </w:r>
    </w:p>
    <w:p w:rsidR="00ED0350" w:rsidRDefault="000A684A">
      <w:pPr>
        <w:spacing w:after="0" w:line="259" w:lineRule="auto"/>
        <w:ind w:left="0" w:firstLine="0"/>
      </w:pPr>
      <w:r>
        <w:rPr>
          <w:rFonts w:ascii="Arial" w:eastAsia="Arial" w:hAnsi="Arial" w:cs="Arial"/>
        </w:rPr>
        <w:t xml:space="preserve"> </w:t>
      </w:r>
    </w:p>
    <w:p w:rsidR="00ED0350" w:rsidRDefault="000A684A">
      <w:pPr>
        <w:spacing w:after="0" w:line="259" w:lineRule="auto"/>
        <w:ind w:left="0" w:firstLine="0"/>
      </w:pPr>
      <w:r>
        <w:rPr>
          <w:rFonts w:ascii="Arial" w:eastAsia="Arial" w:hAnsi="Arial" w:cs="Arial"/>
        </w:rPr>
        <w:t xml:space="preserve"> </w:t>
      </w:r>
    </w:p>
    <w:p w:rsidR="00ED0350" w:rsidRDefault="000A684A">
      <w:pPr>
        <w:spacing w:after="0" w:line="259" w:lineRule="auto"/>
        <w:ind w:left="0" w:firstLine="0"/>
      </w:pPr>
      <w:r>
        <w:rPr>
          <w:rFonts w:ascii="Arial" w:eastAsia="Arial" w:hAnsi="Arial" w:cs="Arial"/>
        </w:rPr>
        <w:t xml:space="preserve"> </w:t>
      </w:r>
    </w:p>
    <w:p w:rsidR="00ED0350" w:rsidRDefault="000A684A">
      <w:pPr>
        <w:spacing w:after="0" w:line="259" w:lineRule="auto"/>
        <w:ind w:left="0" w:firstLine="0"/>
        <w:jc w:val="center"/>
      </w:pPr>
      <w:r>
        <w:rPr>
          <w:b/>
          <w:color w:val="548DD4"/>
          <w:sz w:val="40"/>
        </w:rPr>
        <w:t xml:space="preserve">Hydration Policy </w:t>
      </w:r>
    </w:p>
    <w:p w:rsidR="00ED0350" w:rsidRDefault="000A684A">
      <w:pPr>
        <w:pStyle w:val="Heading1"/>
        <w:spacing w:after="45"/>
        <w:ind w:left="-5"/>
      </w:pPr>
      <w:r>
        <w:t xml:space="preserve">Rationale </w:t>
      </w:r>
    </w:p>
    <w:p w:rsidR="00ED0350" w:rsidRDefault="000A684A">
      <w:pPr>
        <w:ind w:left="0" w:firstLine="0"/>
      </w:pPr>
      <w:r>
        <w:t>The Healthy Eating in Schools Regulation (2013) made it a statutory requirement for pupils to have access to free, fresh drinking water and local authorities have a duty to ‘ensure that a supply of drinking water is available, free of charge, on the premises of any maintained school’. The Welsh Network of Healthy School Schemes (WNHSS) also advises that water should be available free of charge and in a suitable location (not in or near the toilets), and that consumption is actively promoted.</w:t>
      </w:r>
      <w:r>
        <w:rPr>
          <w:b/>
          <w:color w:val="548DD4"/>
        </w:rPr>
        <w:t xml:space="preserve">  </w:t>
      </w:r>
    </w:p>
    <w:p w:rsidR="00ED0350" w:rsidRDefault="000A684A">
      <w:pPr>
        <w:spacing w:after="45" w:line="259" w:lineRule="auto"/>
        <w:ind w:left="0" w:firstLine="0"/>
      </w:pPr>
      <w:r>
        <w:rPr>
          <w:b/>
          <w:color w:val="548DD4"/>
        </w:rPr>
        <w:lastRenderedPageBreak/>
        <w:t xml:space="preserve"> </w:t>
      </w:r>
    </w:p>
    <w:p w:rsidR="00ED0350" w:rsidRDefault="000A684A">
      <w:pPr>
        <w:pStyle w:val="Heading1"/>
        <w:ind w:left="-5"/>
      </w:pPr>
      <w:r>
        <w:t xml:space="preserve">Water and Health </w:t>
      </w:r>
    </w:p>
    <w:p w:rsidR="00ED0350" w:rsidRDefault="000A684A">
      <w:pPr>
        <w:numPr>
          <w:ilvl w:val="0"/>
          <w:numId w:val="1"/>
        </w:numPr>
        <w:spacing w:after="29"/>
        <w:ind w:hanging="360"/>
      </w:pPr>
      <w:r>
        <w:t>Drinking water throughout the day is an important way of protecting health and contributing to the well-being of pupils and staff.</w:t>
      </w:r>
      <w:r>
        <w:rPr>
          <w:b/>
        </w:rPr>
        <w:t xml:space="preserve"> </w:t>
      </w:r>
    </w:p>
    <w:p w:rsidR="00ED0350" w:rsidRDefault="000A684A">
      <w:pPr>
        <w:numPr>
          <w:ilvl w:val="0"/>
          <w:numId w:val="1"/>
        </w:numPr>
        <w:spacing w:after="29"/>
        <w:ind w:hanging="360"/>
      </w:pPr>
      <w:r>
        <w:t xml:space="preserve">Drinking plenty of water can help to prevent a range of short and long-term health problems such as headaches, bladder and bowel problems and cancer. </w:t>
      </w:r>
    </w:p>
    <w:p w:rsidR="00ED0350" w:rsidRDefault="000A684A">
      <w:pPr>
        <w:numPr>
          <w:ilvl w:val="0"/>
          <w:numId w:val="1"/>
        </w:numPr>
        <w:ind w:hanging="360"/>
      </w:pPr>
      <w:r>
        <w:t>Water is a healthy drink and does not damage teeth, unlike still and fizzy soft-drinks high in sugar, additives, artificial sweeteners and caffeine</w:t>
      </w:r>
      <w:r>
        <w:rPr>
          <w:rFonts w:ascii="Arial" w:eastAsia="Arial" w:hAnsi="Arial" w:cs="Arial"/>
          <w:sz w:val="17"/>
        </w:rPr>
        <w:t>.</w:t>
      </w:r>
      <w:r>
        <w:rPr>
          <w:b/>
        </w:rPr>
        <w:t xml:space="preserve"> </w:t>
      </w:r>
    </w:p>
    <w:p w:rsidR="00ED0350" w:rsidRDefault="000A684A">
      <w:pPr>
        <w:spacing w:after="45" w:line="259" w:lineRule="auto"/>
        <w:ind w:left="720" w:firstLine="0"/>
      </w:pPr>
      <w:r>
        <w:rPr>
          <w:b/>
        </w:rPr>
        <w:t xml:space="preserve"> </w:t>
      </w:r>
    </w:p>
    <w:p w:rsidR="00ED0350" w:rsidRDefault="000A684A">
      <w:pPr>
        <w:pStyle w:val="Heading1"/>
        <w:ind w:left="-5"/>
      </w:pPr>
      <w:r>
        <w:t xml:space="preserve">Water and Learning </w:t>
      </w:r>
    </w:p>
    <w:p w:rsidR="00ED0350" w:rsidRDefault="000A684A">
      <w:pPr>
        <w:numPr>
          <w:ilvl w:val="0"/>
          <w:numId w:val="2"/>
        </w:numPr>
        <w:spacing w:after="29"/>
        <w:ind w:hanging="355"/>
      </w:pPr>
      <w:r>
        <w:t xml:space="preserve">Mental performance improves with frequent intakes of small amounts of water but when we are thirsty our mental performance declines by 10%. </w:t>
      </w:r>
    </w:p>
    <w:p w:rsidR="00ED0350" w:rsidRDefault="000A684A">
      <w:pPr>
        <w:numPr>
          <w:ilvl w:val="0"/>
          <w:numId w:val="2"/>
        </w:numPr>
        <w:ind w:hanging="355"/>
      </w:pPr>
      <w:r>
        <w:t xml:space="preserve">Good hydration helps pupils to concentrate because they are not distracted by feelings of thirst, tiredness and irritability. </w:t>
      </w:r>
    </w:p>
    <w:p w:rsidR="00ED0350" w:rsidRDefault="000A684A">
      <w:pPr>
        <w:spacing w:after="45" w:line="259" w:lineRule="auto"/>
        <w:ind w:left="713" w:firstLine="0"/>
      </w:pPr>
      <w:r>
        <w:t xml:space="preserve"> </w:t>
      </w:r>
    </w:p>
    <w:p w:rsidR="00ED0350" w:rsidRDefault="000A684A">
      <w:pPr>
        <w:spacing w:after="79" w:line="259" w:lineRule="auto"/>
        <w:ind w:left="0" w:firstLine="0"/>
      </w:pPr>
      <w:r>
        <w:rPr>
          <w:b/>
          <w:color w:val="1F497D"/>
        </w:rPr>
        <w:t xml:space="preserve">Policy </w:t>
      </w:r>
      <w:r>
        <w:rPr>
          <w:b/>
          <w:color w:val="365F91"/>
        </w:rPr>
        <w:t>Aims</w:t>
      </w:r>
      <w:r>
        <w:rPr>
          <w:b/>
          <w:color w:val="1F497D"/>
        </w:rPr>
        <w:t xml:space="preserve"> </w:t>
      </w:r>
      <w:r>
        <w:rPr>
          <w:color w:val="1F497D"/>
        </w:rPr>
        <w:t xml:space="preserve"> </w:t>
      </w:r>
    </w:p>
    <w:p w:rsidR="00ED0350" w:rsidRDefault="000A684A">
      <w:pPr>
        <w:numPr>
          <w:ilvl w:val="0"/>
          <w:numId w:val="2"/>
        </w:numPr>
        <w:spacing w:after="29"/>
        <w:ind w:hanging="355"/>
      </w:pPr>
      <w:r>
        <w:t xml:space="preserve">To ensure open access to free, fresh drinking water, at all times during the day to promote the health, wellbeing and learning opportunities of all pupils and staff.  </w:t>
      </w:r>
    </w:p>
    <w:p w:rsidR="00ED0350" w:rsidRDefault="000A684A">
      <w:pPr>
        <w:numPr>
          <w:ilvl w:val="0"/>
          <w:numId w:val="2"/>
        </w:numPr>
        <w:ind w:hanging="355"/>
      </w:pPr>
      <w:r>
        <w:t xml:space="preserve">To create an environment that provides drinking water as a pleasurable experience.  </w:t>
      </w:r>
    </w:p>
    <w:p w:rsidR="00ED0350" w:rsidRDefault="000A684A">
      <w:pPr>
        <w:numPr>
          <w:ilvl w:val="0"/>
          <w:numId w:val="2"/>
        </w:numPr>
        <w:ind w:hanging="355"/>
      </w:pPr>
      <w:r>
        <w:t xml:space="preserve">To provide an environment where drinking water is actively promoted. </w:t>
      </w:r>
    </w:p>
    <w:p w:rsidR="00ED0350" w:rsidRDefault="000A684A">
      <w:pPr>
        <w:spacing w:after="45" w:line="259" w:lineRule="auto"/>
        <w:ind w:left="0" w:firstLine="0"/>
      </w:pPr>
      <w:r>
        <w:t xml:space="preserve"> </w:t>
      </w:r>
    </w:p>
    <w:p w:rsidR="00ED0350" w:rsidRDefault="000A684A">
      <w:pPr>
        <w:pStyle w:val="Heading1"/>
        <w:spacing w:after="180"/>
        <w:ind w:left="-5"/>
      </w:pPr>
      <w:r>
        <w:t xml:space="preserve">Objectives </w:t>
      </w:r>
      <w:r>
        <w:rPr>
          <w:b w:val="0"/>
        </w:rPr>
        <w:t xml:space="preserve"> </w:t>
      </w:r>
    </w:p>
    <w:p w:rsidR="00ED0350" w:rsidRDefault="000A684A">
      <w:pPr>
        <w:numPr>
          <w:ilvl w:val="0"/>
          <w:numId w:val="3"/>
        </w:numPr>
        <w:spacing w:after="27"/>
        <w:ind w:hanging="360"/>
      </w:pPr>
      <w:r>
        <w:t>To work towards ensuring that this policy is both accepted and embraced by the whole school community - school management, staff, pupils, governors, parents, site manager, cleaning and catering staff</w:t>
      </w:r>
      <w:r>
        <w:rPr>
          <w:rFonts w:ascii="Arial" w:eastAsia="Arial" w:hAnsi="Arial" w:cs="Arial"/>
          <w:sz w:val="20"/>
        </w:rPr>
        <w:t xml:space="preserve">.  </w:t>
      </w:r>
    </w:p>
    <w:p w:rsidR="00ED0350" w:rsidRDefault="000A684A">
      <w:pPr>
        <w:numPr>
          <w:ilvl w:val="0"/>
          <w:numId w:val="3"/>
        </w:numPr>
        <w:spacing w:after="29"/>
        <w:ind w:hanging="360"/>
      </w:pPr>
      <w:r>
        <w:t xml:space="preserve">To raise awareness of the importance of drinking water regularly throughout the day with pupils, parents, staff and governors. </w:t>
      </w:r>
    </w:p>
    <w:p w:rsidR="00ED0350" w:rsidRDefault="000A684A">
      <w:pPr>
        <w:numPr>
          <w:ilvl w:val="0"/>
          <w:numId w:val="3"/>
        </w:numPr>
        <w:ind w:hanging="360"/>
      </w:pPr>
      <w:r>
        <w:t xml:space="preserve">To encourage staff to lead by example and drink water in front of pupils. </w:t>
      </w:r>
    </w:p>
    <w:p w:rsidR="00ED0350" w:rsidRDefault="000A684A">
      <w:pPr>
        <w:numPr>
          <w:ilvl w:val="0"/>
          <w:numId w:val="3"/>
        </w:numPr>
        <w:spacing w:after="29"/>
        <w:ind w:hanging="360"/>
      </w:pPr>
      <w:r>
        <w:t xml:space="preserve">To review the formal curriculum to ensure information relating to the importance of hydration is included, consistent and up-to-date e.g. Wee challenge </w:t>
      </w:r>
    </w:p>
    <w:p w:rsidR="00ED0350" w:rsidRDefault="000A684A">
      <w:pPr>
        <w:numPr>
          <w:ilvl w:val="0"/>
          <w:numId w:val="3"/>
        </w:numPr>
        <w:spacing w:after="47"/>
        <w:ind w:hanging="360"/>
      </w:pPr>
      <w:r>
        <w:t xml:space="preserve">Children are encouraged to bring a water bottle to school. These should be clearly marked with the child’s name using a permanent marker and re-marked regularly to avoid confusion. Younger classes will have cups that are washed regularly for pupils to access water. </w:t>
      </w:r>
    </w:p>
    <w:p w:rsidR="00ED0350" w:rsidRDefault="000A684A">
      <w:pPr>
        <w:numPr>
          <w:ilvl w:val="0"/>
          <w:numId w:val="3"/>
        </w:numPr>
        <w:ind w:hanging="360"/>
      </w:pPr>
      <w:r>
        <w:t>Parents and carers are responsible for cleaning bottles and will be reminded of this through the school website, prospectus etc. Bottles sent home to be cleaned should be washed in warm soapy water, the sports cap should be scrubbed with a brush, and the bottles left to air dry upside down in a hygienic place; or they can be washed in a dishwasher if the bottles are suitable.</w:t>
      </w:r>
      <w:r>
        <w:rPr>
          <w:rFonts w:ascii="Verdana" w:eastAsia="Verdana" w:hAnsi="Verdana" w:cs="Verdana"/>
          <w:sz w:val="24"/>
        </w:rPr>
        <w:t xml:space="preserve"> </w:t>
      </w:r>
    </w:p>
    <w:p w:rsidR="00ED0350" w:rsidRDefault="000A684A">
      <w:pPr>
        <w:numPr>
          <w:ilvl w:val="0"/>
          <w:numId w:val="3"/>
        </w:numPr>
        <w:ind w:hanging="360"/>
      </w:pPr>
      <w:r>
        <w:t xml:space="preserve">Extra water breaks will be provided when exercising and/or in hot weather. </w:t>
      </w:r>
    </w:p>
    <w:p w:rsidR="00ED0350" w:rsidRDefault="000A684A">
      <w:pPr>
        <w:numPr>
          <w:ilvl w:val="0"/>
          <w:numId w:val="3"/>
        </w:numPr>
        <w:ind w:hanging="360"/>
      </w:pPr>
      <w:r>
        <w:t xml:space="preserve">Bottles will only be used for water.  </w:t>
      </w:r>
    </w:p>
    <w:p w:rsidR="00ED0350" w:rsidRDefault="000A684A">
      <w:pPr>
        <w:spacing w:after="0" w:line="259" w:lineRule="auto"/>
        <w:ind w:left="0" w:firstLine="0"/>
      </w:pPr>
      <w:r>
        <w:t xml:space="preserve"> </w:t>
      </w:r>
    </w:p>
    <w:p w:rsidR="00ED0350" w:rsidRDefault="000A684A">
      <w:pPr>
        <w:numPr>
          <w:ilvl w:val="0"/>
          <w:numId w:val="3"/>
        </w:numPr>
        <w:ind w:hanging="360"/>
      </w:pPr>
      <w:r>
        <w:t xml:space="preserve">Water coolers </w:t>
      </w:r>
    </w:p>
    <w:p w:rsidR="00ED0350" w:rsidRDefault="000A684A">
      <w:pPr>
        <w:numPr>
          <w:ilvl w:val="1"/>
          <w:numId w:val="3"/>
        </w:numPr>
        <w:spacing w:after="29"/>
        <w:ind w:hanging="355"/>
      </w:pPr>
      <w:r>
        <w:t xml:space="preserve">Water coolers are easily accessible and positioned in an appropriate, hygienic and safe area, not in or near the toilets.  </w:t>
      </w:r>
    </w:p>
    <w:p w:rsidR="00ED0350" w:rsidRDefault="000A684A">
      <w:pPr>
        <w:numPr>
          <w:ilvl w:val="1"/>
          <w:numId w:val="3"/>
        </w:numPr>
        <w:spacing w:after="38"/>
        <w:ind w:hanging="355"/>
      </w:pPr>
      <w:r>
        <w:t xml:space="preserve">A minimum of one water cooler per 200 pupils. </w:t>
      </w:r>
    </w:p>
    <w:p w:rsidR="00ED0350" w:rsidRDefault="000A684A">
      <w:pPr>
        <w:numPr>
          <w:ilvl w:val="1"/>
          <w:numId w:val="3"/>
        </w:numPr>
        <w:ind w:hanging="355"/>
      </w:pPr>
      <w:r>
        <w:t xml:space="preserve">One person is assigned to cleaning and maintaining the water coolers.  </w:t>
      </w:r>
    </w:p>
    <w:p w:rsidR="00ED0350" w:rsidRDefault="000A684A">
      <w:pPr>
        <w:spacing w:after="45" w:line="259" w:lineRule="auto"/>
        <w:ind w:left="0" w:firstLine="0"/>
      </w:pPr>
      <w:r>
        <w:lastRenderedPageBreak/>
        <w:t xml:space="preserve"> </w:t>
      </w:r>
    </w:p>
    <w:p w:rsidR="00ED0350" w:rsidRDefault="000A684A">
      <w:pPr>
        <w:ind w:left="0" w:firstLine="0"/>
      </w:pPr>
      <w:r>
        <w:t xml:space="preserve">Adapted from:  </w:t>
      </w:r>
    </w:p>
    <w:p w:rsidR="00ED0350" w:rsidRDefault="000A684A">
      <w:pPr>
        <w:spacing w:after="37" w:line="259" w:lineRule="auto"/>
        <w:ind w:left="-5" w:right="4280" w:hanging="10"/>
      </w:pPr>
      <w:r>
        <w:t>Welsh Government (2010)</w:t>
      </w:r>
      <w:r>
        <w:rPr>
          <w:i/>
        </w:rPr>
        <w:t xml:space="preserve"> Think Water</w:t>
      </w:r>
      <w:r>
        <w:t xml:space="preserve"> Available at: </w:t>
      </w:r>
      <w:hyperlink r:id="rId6">
        <w:r>
          <w:rPr>
            <w:color w:val="0000FF"/>
            <w:u w:val="single" w:color="0000FF"/>
          </w:rPr>
          <w:t>http://gov.wales/topics/health/improvement/index/water/?lang=en</w:t>
        </w:r>
      </w:hyperlink>
      <w:hyperlink r:id="rId7">
        <w:r>
          <w:t xml:space="preserve"> </w:t>
        </w:r>
      </w:hyperlink>
      <w:r>
        <w:t xml:space="preserve"> Further links: </w:t>
      </w:r>
    </w:p>
    <w:p w:rsidR="00ED0350" w:rsidRDefault="000A684A">
      <w:pPr>
        <w:spacing w:after="1" w:line="299" w:lineRule="auto"/>
        <w:ind w:left="0" w:firstLine="0"/>
      </w:pPr>
      <w:r>
        <w:t xml:space="preserve">Welsh Assembly Government (2006) </w:t>
      </w:r>
      <w:r>
        <w:rPr>
          <w:i/>
        </w:rPr>
        <w:t>Teach Germs a Lesson:</w:t>
      </w:r>
      <w:r>
        <w:t xml:space="preserve"> </w:t>
      </w:r>
      <w:r>
        <w:rPr>
          <w:i/>
        </w:rPr>
        <w:t xml:space="preserve">Infection Control Guidance for Primary and Secondary Schools </w:t>
      </w:r>
      <w:r>
        <w:t xml:space="preserve">Available at: </w:t>
      </w:r>
    </w:p>
    <w:p w:rsidR="00ED0350" w:rsidRDefault="008D57D6">
      <w:pPr>
        <w:spacing w:after="0" w:line="259" w:lineRule="auto"/>
        <w:ind w:left="-5" w:right="4280" w:hanging="10"/>
      </w:pPr>
      <w:hyperlink r:id="rId8">
        <w:r w:rsidR="000A684A">
          <w:rPr>
            <w:color w:val="0000FF"/>
            <w:u w:val="single" w:color="0000FF"/>
          </w:rPr>
          <w:t>http://www.broccolibob.co.uk/documents/TeachGermsALesson.pdf</w:t>
        </w:r>
      </w:hyperlink>
      <w:hyperlink r:id="rId9">
        <w:r w:rsidR="000A684A">
          <w:t xml:space="preserve"> </w:t>
        </w:r>
      </w:hyperlink>
      <w:r w:rsidR="000A684A">
        <w:t xml:space="preserve"> </w:t>
      </w:r>
    </w:p>
    <w:p w:rsidR="00ED0350" w:rsidRDefault="000A684A">
      <w:pPr>
        <w:spacing w:after="211" w:line="259" w:lineRule="auto"/>
        <w:ind w:left="0" w:firstLine="0"/>
      </w:pPr>
      <w:r>
        <w:t xml:space="preserve"> </w:t>
      </w:r>
    </w:p>
    <w:p w:rsidR="00ED0350" w:rsidRDefault="000A684A">
      <w:pPr>
        <w:spacing w:after="0" w:line="259" w:lineRule="auto"/>
        <w:ind w:left="0" w:firstLine="0"/>
      </w:pPr>
      <w:r>
        <w:rPr>
          <w:rFonts w:ascii="Arial" w:eastAsia="Arial" w:hAnsi="Arial" w:cs="Arial"/>
          <w:b/>
        </w:rPr>
        <w:t xml:space="preserve"> </w:t>
      </w:r>
    </w:p>
    <w:p w:rsidR="00ED0350" w:rsidRDefault="000A684A">
      <w:pPr>
        <w:tabs>
          <w:tab w:val="center" w:pos="1440"/>
          <w:tab w:val="center" w:pos="2160"/>
          <w:tab w:val="center" w:pos="2880"/>
          <w:tab w:val="center" w:pos="3601"/>
          <w:tab w:val="center" w:pos="4321"/>
          <w:tab w:val="center" w:pos="6076"/>
        </w:tabs>
        <w:spacing w:after="0" w:line="259" w:lineRule="auto"/>
        <w:ind w:left="-15" w:firstLine="0"/>
      </w:pPr>
      <w:bookmarkStart w:id="0" w:name="_GoBack"/>
      <w:bookmarkEnd w:id="0"/>
      <w:r>
        <w:rPr>
          <w:rFonts w:ascii="Tahoma" w:eastAsia="Tahoma" w:hAnsi="Tahoma" w:cs="Tahoma"/>
          <w:b/>
        </w:rPr>
        <w:t xml:space="preserve">Signed: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b/>
        </w:rPr>
        <w:tab/>
        <w:t xml:space="preserve">Chair of Governors </w:t>
      </w:r>
    </w:p>
    <w:p w:rsidR="00ED0350" w:rsidRDefault="000A684A">
      <w:pPr>
        <w:spacing w:after="0" w:line="259" w:lineRule="auto"/>
        <w:ind w:left="679" w:firstLine="0"/>
      </w:pPr>
      <w:r>
        <w:rPr>
          <w:rFonts w:ascii="Tahoma" w:eastAsia="Tahoma" w:hAnsi="Tahoma" w:cs="Tahoma"/>
          <w:b/>
        </w:rPr>
        <w:t xml:space="preserve"> </w:t>
      </w:r>
    </w:p>
    <w:p w:rsidR="00ED0350" w:rsidRDefault="000A684A">
      <w:pPr>
        <w:spacing w:after="0" w:line="259" w:lineRule="auto"/>
        <w:ind w:left="679" w:firstLine="0"/>
      </w:pPr>
      <w:r>
        <w:rPr>
          <w:rFonts w:ascii="Tahoma" w:eastAsia="Tahoma" w:hAnsi="Tahoma" w:cs="Tahoma"/>
          <w:b/>
        </w:rPr>
        <w:t xml:space="preserve"> </w:t>
      </w:r>
    </w:p>
    <w:p w:rsidR="00ED0350" w:rsidRDefault="000A684A">
      <w:pPr>
        <w:tabs>
          <w:tab w:val="center" w:pos="1440"/>
          <w:tab w:val="center" w:pos="2160"/>
          <w:tab w:val="center" w:pos="2880"/>
          <w:tab w:val="center" w:pos="3601"/>
          <w:tab w:val="center" w:pos="4321"/>
          <w:tab w:val="center" w:pos="5799"/>
        </w:tabs>
        <w:spacing w:after="0" w:line="259" w:lineRule="auto"/>
        <w:ind w:left="-15" w:firstLine="0"/>
      </w:pPr>
      <w:r>
        <w:rPr>
          <w:rFonts w:ascii="Tahoma" w:eastAsia="Tahoma" w:hAnsi="Tahoma" w:cs="Tahoma"/>
          <w:b/>
        </w:rPr>
        <w:t xml:space="preserve">Signed: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b/>
        </w:rPr>
        <w:tab/>
        <w:t xml:space="preserve">Head Teacher </w:t>
      </w:r>
    </w:p>
    <w:p w:rsidR="00ED0350" w:rsidRDefault="000A684A">
      <w:pPr>
        <w:spacing w:after="0" w:line="259" w:lineRule="auto"/>
        <w:ind w:left="679" w:firstLine="0"/>
      </w:pPr>
      <w:r>
        <w:rPr>
          <w:rFonts w:ascii="Tahoma" w:eastAsia="Tahoma" w:hAnsi="Tahoma" w:cs="Tahoma"/>
          <w:b/>
        </w:rPr>
        <w:t xml:space="preserve"> </w:t>
      </w:r>
    </w:p>
    <w:p w:rsidR="00ED0350" w:rsidRDefault="000A684A">
      <w:pPr>
        <w:spacing w:after="0" w:line="259" w:lineRule="auto"/>
        <w:ind w:left="679" w:firstLine="0"/>
      </w:pPr>
      <w:r>
        <w:rPr>
          <w:rFonts w:ascii="Tahoma" w:eastAsia="Tahoma" w:hAnsi="Tahoma" w:cs="Tahoma"/>
          <w:b/>
        </w:rPr>
        <w:t xml:space="preserve"> </w:t>
      </w:r>
    </w:p>
    <w:p w:rsidR="00ED0350" w:rsidRDefault="000A684A">
      <w:pPr>
        <w:spacing w:after="0" w:line="259" w:lineRule="auto"/>
        <w:ind w:left="-5" w:hanging="10"/>
      </w:pPr>
      <w:r>
        <w:rPr>
          <w:rFonts w:ascii="Tahoma" w:eastAsia="Tahoma" w:hAnsi="Tahoma" w:cs="Tahoma"/>
          <w:b/>
        </w:rPr>
        <w:t xml:space="preserve">Date: </w:t>
      </w:r>
    </w:p>
    <w:p w:rsidR="00ED0350" w:rsidRDefault="000A684A">
      <w:pPr>
        <w:spacing w:after="0" w:line="259" w:lineRule="auto"/>
        <w:ind w:left="679" w:firstLine="0"/>
      </w:pPr>
      <w:r>
        <w:rPr>
          <w:rFonts w:ascii="Tahoma" w:eastAsia="Tahoma" w:hAnsi="Tahoma" w:cs="Tahoma"/>
          <w:b/>
        </w:rPr>
        <w:t xml:space="preserve"> </w:t>
      </w:r>
    </w:p>
    <w:p w:rsidR="00ED0350" w:rsidRDefault="000A684A">
      <w:pPr>
        <w:spacing w:after="0" w:line="259" w:lineRule="auto"/>
        <w:ind w:left="679" w:firstLine="0"/>
      </w:pPr>
      <w:r>
        <w:rPr>
          <w:rFonts w:ascii="Tahoma" w:eastAsia="Tahoma" w:hAnsi="Tahoma" w:cs="Tahoma"/>
          <w:b/>
        </w:rPr>
        <w:t xml:space="preserve"> </w:t>
      </w:r>
    </w:p>
    <w:p w:rsidR="00ED0350" w:rsidRDefault="000A684A">
      <w:pPr>
        <w:spacing w:after="4" w:line="259" w:lineRule="auto"/>
        <w:ind w:left="0" w:firstLine="0"/>
      </w:pPr>
      <w:r>
        <w:rPr>
          <w:rFonts w:ascii="Tahoma" w:eastAsia="Tahoma" w:hAnsi="Tahoma" w:cs="Tahoma"/>
          <w:b/>
        </w:rPr>
        <w:t xml:space="preserve">  </w:t>
      </w:r>
    </w:p>
    <w:p w:rsidR="00ED0350" w:rsidRDefault="000A684A">
      <w:pPr>
        <w:spacing w:after="0" w:line="259" w:lineRule="auto"/>
        <w:ind w:left="-5" w:hanging="10"/>
      </w:pPr>
      <w:r>
        <w:rPr>
          <w:rFonts w:ascii="Tahoma" w:eastAsia="Tahoma" w:hAnsi="Tahoma" w:cs="Tahoma"/>
          <w:b/>
        </w:rPr>
        <w:t>Date of Review:   May 2021</w:t>
      </w:r>
      <w:r>
        <w:rPr>
          <w:rFonts w:ascii="Arial" w:eastAsia="Arial" w:hAnsi="Arial" w:cs="Arial"/>
        </w:rPr>
        <w:t xml:space="preserve"> </w:t>
      </w:r>
    </w:p>
    <w:p w:rsidR="00ED0350" w:rsidRDefault="000A684A">
      <w:pPr>
        <w:spacing w:after="0" w:line="259" w:lineRule="auto"/>
        <w:ind w:left="0" w:firstLine="0"/>
      </w:pPr>
      <w:r>
        <w:rPr>
          <w:rFonts w:ascii="Arial" w:eastAsia="Arial" w:hAnsi="Arial" w:cs="Arial"/>
        </w:rPr>
        <w:t xml:space="preserve"> </w:t>
      </w:r>
    </w:p>
    <w:sectPr w:rsidR="00ED0350">
      <w:pgSz w:w="11909" w:h="17333"/>
      <w:pgMar w:top="1142" w:right="310" w:bottom="742" w:left="4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D014F"/>
    <w:multiLevelType w:val="hybridMultilevel"/>
    <w:tmpl w:val="CB08665C"/>
    <w:lvl w:ilvl="0" w:tplc="590C941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08F8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9C1D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0852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9623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821C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C041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E887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5E88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6CC1030"/>
    <w:multiLevelType w:val="hybridMultilevel"/>
    <w:tmpl w:val="43FA230C"/>
    <w:lvl w:ilvl="0" w:tplc="0CCA1A7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F4928A">
      <w:start w:val="1"/>
      <w:numFmt w:val="bullet"/>
      <w:lvlText w:val=""/>
      <w:lvlJc w:val="left"/>
      <w:pPr>
        <w:ind w:left="1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2725F58">
      <w:start w:val="1"/>
      <w:numFmt w:val="bullet"/>
      <w:lvlText w:val="▪"/>
      <w:lvlJc w:val="left"/>
      <w:pPr>
        <w:ind w:left="21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18ADFC0">
      <w:start w:val="1"/>
      <w:numFmt w:val="bullet"/>
      <w:lvlText w:val="•"/>
      <w:lvlJc w:val="left"/>
      <w:pPr>
        <w:ind w:left="28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08C05A6">
      <w:start w:val="1"/>
      <w:numFmt w:val="bullet"/>
      <w:lvlText w:val="o"/>
      <w:lvlJc w:val="left"/>
      <w:pPr>
        <w:ind w:left="35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44ACF6C">
      <w:start w:val="1"/>
      <w:numFmt w:val="bullet"/>
      <w:lvlText w:val="▪"/>
      <w:lvlJc w:val="left"/>
      <w:pPr>
        <w:ind w:left="43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44A9AEA">
      <w:start w:val="1"/>
      <w:numFmt w:val="bullet"/>
      <w:lvlText w:val="•"/>
      <w:lvlJc w:val="left"/>
      <w:pPr>
        <w:ind w:left="50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348701C">
      <w:start w:val="1"/>
      <w:numFmt w:val="bullet"/>
      <w:lvlText w:val="o"/>
      <w:lvlJc w:val="left"/>
      <w:pPr>
        <w:ind w:left="57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9660B56">
      <w:start w:val="1"/>
      <w:numFmt w:val="bullet"/>
      <w:lvlText w:val="▪"/>
      <w:lvlJc w:val="left"/>
      <w:pPr>
        <w:ind w:left="64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AC1183"/>
    <w:multiLevelType w:val="hybridMultilevel"/>
    <w:tmpl w:val="E7D09478"/>
    <w:lvl w:ilvl="0" w:tplc="6574941E">
      <w:start w:val="1"/>
      <w:numFmt w:val="bullet"/>
      <w:lvlText w:val="•"/>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1689A0">
      <w:start w:val="1"/>
      <w:numFmt w:val="bullet"/>
      <w:lvlText w:val="o"/>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706828">
      <w:start w:val="1"/>
      <w:numFmt w:val="bullet"/>
      <w:lvlText w:val="▪"/>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64A26E">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14C5E0">
      <w:start w:val="1"/>
      <w:numFmt w:val="bullet"/>
      <w:lvlText w:val="o"/>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447880">
      <w:start w:val="1"/>
      <w:numFmt w:val="bullet"/>
      <w:lvlText w:val="▪"/>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163D32">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F0F4CA">
      <w:start w:val="1"/>
      <w:numFmt w:val="bullet"/>
      <w:lvlText w:val="o"/>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D02988">
      <w:start w:val="1"/>
      <w:numFmt w:val="bullet"/>
      <w:lvlText w:val="▪"/>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50"/>
    <w:rsid w:val="000A684A"/>
    <w:rsid w:val="008D57D6"/>
    <w:rsid w:val="00ED0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5E308-75B2-4260-A853-3A680844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304" w:lineRule="auto"/>
      <w:ind w:left="365" w:hanging="365"/>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79"/>
      <w:ind w:left="10" w:hanging="10"/>
      <w:outlineLvl w:val="0"/>
    </w:pPr>
    <w:rPr>
      <w:rFonts w:ascii="Calibri" w:eastAsia="Calibri" w:hAnsi="Calibri" w:cs="Calibri"/>
      <w:b/>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65F9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roccolibob.co.uk/documents/TeachGermsALesson.pdf" TargetMode="External"/><Relationship Id="rId3" Type="http://schemas.openxmlformats.org/officeDocument/2006/relationships/settings" Target="settings.xml"/><Relationship Id="rId7" Type="http://schemas.openxmlformats.org/officeDocument/2006/relationships/hyperlink" Target="http://gov.wales/topics/health/improvement/index/water/?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wales/topics/health/improvement/index/water/?lang=en"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occolibob.co.uk/documents/TeachGermsALess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Pembrokeshire County Council</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bircha</dc:creator>
  <cp:keywords/>
  <cp:lastModifiedBy>R Williams (Johnston CP School)</cp:lastModifiedBy>
  <cp:revision>3</cp:revision>
  <dcterms:created xsi:type="dcterms:W3CDTF">2020-03-25T08:25:00Z</dcterms:created>
  <dcterms:modified xsi:type="dcterms:W3CDTF">2020-04-23T09:10:00Z</dcterms:modified>
</cp:coreProperties>
</file>